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jc w:val="center"/>
        <w:tblInd w:w="1375" w:type="dxa"/>
        <w:tblLayout w:type="fixed"/>
        <w:tblLook w:val="04A0" w:firstRow="1" w:lastRow="0" w:firstColumn="1" w:lastColumn="0" w:noHBand="0" w:noVBand="1"/>
      </w:tblPr>
      <w:tblGrid>
        <w:gridCol w:w="3414"/>
        <w:gridCol w:w="7371"/>
      </w:tblGrid>
      <w:tr w:rsidR="00432081" w:rsidRPr="00432081" w:rsidTr="00F1190E">
        <w:trPr>
          <w:trHeight w:val="1275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432081" w:rsidRPr="00432081" w:rsidRDefault="00F1190E" w:rsidP="00F1190E">
            <w:pPr>
              <w:pStyle w:val="2"/>
              <w:ind w:right="-291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AFFDFD" wp14:editId="05AF78D4">
                  <wp:extent cx="1945640" cy="786765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32081" w:rsidRPr="009A1ACE" w:rsidRDefault="00721FCB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</w:t>
            </w:r>
            <w:r w:rsidR="007610A4" w:rsidRPr="009A1AC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нлайн-</w:t>
            </w:r>
            <w:r w:rsidR="00432081" w:rsidRPr="009A1AC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семинар</w:t>
            </w:r>
          </w:p>
          <w:p w:rsidR="00C518FF" w:rsidRPr="007D00FB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8"/>
                <w:lang w:eastAsia="ru-RU"/>
              </w:rPr>
            </w:pPr>
          </w:p>
          <w:p w:rsidR="00432081" w:rsidRDefault="002561F0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</w:pPr>
            <w:r w:rsidRPr="006B102A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2</w:t>
            </w:r>
            <w:r w:rsidR="00721FCB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5</w:t>
            </w:r>
            <w:r w:rsidR="0052614E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</w:t>
            </w:r>
            <w:r w:rsidR="00721FCB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ок</w:t>
            </w:r>
            <w:r w:rsidR="00D37EE5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тября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с 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0.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до 1</w:t>
            </w:r>
            <w:r w:rsidR="00721FCB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3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час.</w:t>
            </w:r>
          </w:p>
          <w:p w:rsidR="00C518FF" w:rsidRPr="007D00FB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28"/>
                <w:lang w:eastAsia="ru-RU"/>
              </w:rPr>
            </w:pPr>
          </w:p>
          <w:p w:rsidR="003F5719" w:rsidRDefault="00975193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7610A4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«</w:t>
            </w:r>
            <w:r w:rsidR="00721FCB" w:rsidRPr="00721FCB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Правовые аспекты</w:t>
            </w:r>
            <w:r w:rsidR="00721FCB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 </w:t>
            </w:r>
            <w:r w:rsidR="00721FCB" w:rsidRPr="00721FCB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договорной работы </w:t>
            </w:r>
          </w:p>
          <w:p w:rsidR="00432081" w:rsidRDefault="00721FCB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721FCB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в деятельности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 </w:t>
            </w:r>
            <w:r w:rsidRPr="00721FCB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современной организации</w:t>
            </w:r>
            <w:r w:rsidR="00975193" w:rsidRPr="007610A4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»</w:t>
            </w:r>
          </w:p>
          <w:p w:rsidR="007D00FB" w:rsidRPr="00432081" w:rsidRDefault="007D00FB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32081" w:rsidRPr="00A24632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4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432081" w:rsidRPr="004D2620" w:rsidRDefault="00432081" w:rsidP="003271DD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r w:rsidR="003271DD" w:rsidRPr="003271D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Бевзенко Роман Сергеевич</w:t>
            </w:r>
            <w:r w:rsidR="003271D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– </w:t>
            </w:r>
            <w:proofErr w:type="spellStart"/>
            <w:r w:rsidR="003271DD" w:rsidRPr="003271DD">
              <w:rPr>
                <w:rFonts w:ascii="Times New Roman" w:eastAsia="Calibri" w:hAnsi="Times New Roman" w:cs="Times New Roman"/>
                <w:color w:val="000000"/>
                <w:sz w:val="24"/>
              </w:rPr>
              <w:t>к.ю.н</w:t>
            </w:r>
            <w:proofErr w:type="spellEnd"/>
            <w:r w:rsidR="003271DD" w:rsidRPr="003271DD">
              <w:rPr>
                <w:rFonts w:ascii="Times New Roman" w:eastAsia="Calibri" w:hAnsi="Times New Roman" w:cs="Times New Roman"/>
                <w:color w:val="000000"/>
                <w:sz w:val="24"/>
              </w:rPr>
              <w:t>., эксперт по гражданскому праву</w:t>
            </w:r>
            <w:r w:rsidR="003271DD">
              <w:rPr>
                <w:rFonts w:ascii="Times New Roman" w:eastAsia="Calibri" w:hAnsi="Times New Roman" w:cs="Times New Roman"/>
                <w:color w:val="000000"/>
                <w:sz w:val="24"/>
              </w:rPr>
              <w:t>, п</w:t>
            </w:r>
            <w:r w:rsidR="003271DD" w:rsidRPr="003271DD">
              <w:rPr>
                <w:rFonts w:ascii="Times New Roman" w:eastAsia="Calibri" w:hAnsi="Times New Roman" w:cs="Times New Roman"/>
                <w:color w:val="000000"/>
                <w:sz w:val="24"/>
              </w:rPr>
              <w:t>рофессор Исследовательского центра частного права</w:t>
            </w:r>
            <w:r w:rsidR="003271D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3271DD" w:rsidRPr="003271DD">
              <w:rPr>
                <w:rFonts w:ascii="Times New Roman" w:eastAsia="Calibri" w:hAnsi="Times New Roman" w:cs="Times New Roman"/>
                <w:color w:val="000000"/>
                <w:sz w:val="24"/>
              </w:rPr>
              <w:t>им.С.С.Алексеева</w:t>
            </w:r>
            <w:proofErr w:type="spellEnd"/>
            <w:r w:rsidR="003271DD" w:rsidRPr="003271D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при Президенте РФ, </w:t>
            </w:r>
            <w:r w:rsidR="003271DD">
              <w:rPr>
                <w:rFonts w:ascii="Times New Roman" w:eastAsia="Calibri" w:hAnsi="Times New Roman" w:cs="Times New Roman"/>
                <w:color w:val="000000"/>
                <w:sz w:val="24"/>
              </w:rPr>
              <w:t>п</w:t>
            </w:r>
            <w:r w:rsidR="003271DD" w:rsidRPr="003271DD">
              <w:rPr>
                <w:rFonts w:ascii="Times New Roman" w:eastAsia="Calibri" w:hAnsi="Times New Roman" w:cs="Times New Roman"/>
                <w:color w:val="000000"/>
                <w:sz w:val="24"/>
              </w:rPr>
              <w:t>артнер Юридической компании «Пепеляев Групп»</w:t>
            </w:r>
            <w:r w:rsidR="003271DD">
              <w:rPr>
                <w:rFonts w:ascii="Times New Roman" w:eastAsia="Calibri" w:hAnsi="Times New Roman" w:cs="Times New Roman"/>
                <w:color w:val="000000"/>
                <w:sz w:val="24"/>
              </w:rPr>
              <w:t>, ч</w:t>
            </w:r>
            <w:r w:rsidR="003271DD" w:rsidRPr="003271DD">
              <w:rPr>
                <w:rFonts w:ascii="Times New Roman" w:eastAsia="Calibri" w:hAnsi="Times New Roman" w:cs="Times New Roman"/>
                <w:color w:val="000000"/>
                <w:sz w:val="24"/>
              </w:rPr>
              <w:t>лен рабочей группы по подготовке реформы ГК РФ,</w:t>
            </w:r>
            <w:r w:rsidR="003271D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3271DD" w:rsidRPr="003271DD">
              <w:rPr>
                <w:rFonts w:ascii="Times New Roman" w:eastAsia="Calibri" w:hAnsi="Times New Roman" w:cs="Times New Roman"/>
                <w:color w:val="000000"/>
                <w:sz w:val="24"/>
              </w:rPr>
              <w:t>действительный государственный советник юстиции РФ 2 класса</w:t>
            </w:r>
            <w:r w:rsidR="00E227E0" w:rsidRPr="00E227E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(</w:t>
            </w:r>
            <w:proofErr w:type="spell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proofErr w:type="gram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.М</w:t>
            </w:r>
            <w:proofErr w:type="gram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осква</w:t>
            </w:r>
            <w:proofErr w:type="spell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).</w:t>
            </w:r>
          </w:p>
        </w:tc>
      </w:tr>
    </w:tbl>
    <w:p w:rsidR="00EA3F9B" w:rsidRPr="002D0DA9" w:rsidRDefault="00B30AF3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Семинар предназначен для юристов и специалистов, занимающихся договорной работой.</w:t>
      </w:r>
    </w:p>
    <w:p w:rsidR="002D0DA9" w:rsidRPr="002561F0" w:rsidRDefault="002D0DA9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2D0DA9" w:rsidRPr="002561F0" w:rsidRDefault="002D0DA9" w:rsidP="00B30AF3">
      <w:pPr>
        <w:spacing w:after="0" w:line="240" w:lineRule="auto"/>
        <w:jc w:val="both"/>
        <w:outlineLvl w:val="1"/>
        <w:rPr>
          <w:i/>
        </w:rPr>
      </w:pPr>
      <w:proofErr w:type="gramStart"/>
      <w:r w:rsidRPr="002D0DA9">
        <w:rPr>
          <w:i/>
        </w:rPr>
        <w:t xml:space="preserve">Бевзенко </w:t>
      </w:r>
      <w:r>
        <w:rPr>
          <w:i/>
        </w:rPr>
        <w:t xml:space="preserve">принимал активное участие в подготовке и обсуждении ключевых разъяснений ВАС РФ в сфере гражданского права в 2008-2014 гг., являлся непосредственным </w:t>
      </w:r>
      <w:r>
        <w:rPr>
          <w:b/>
          <w:i/>
        </w:rPr>
        <w:t>разработчиком проектов</w:t>
      </w:r>
      <w:r>
        <w:rPr>
          <w:i/>
        </w:rPr>
        <w:t xml:space="preserve"> нескольких наиболее значимых </w:t>
      </w:r>
      <w:r>
        <w:rPr>
          <w:b/>
          <w:i/>
        </w:rPr>
        <w:t>постановлений Пленума</w:t>
      </w:r>
      <w:r>
        <w:rPr>
          <w:i/>
        </w:rPr>
        <w:t xml:space="preserve"> ВАС РФ и информационных писем </w:t>
      </w:r>
      <w:r>
        <w:rPr>
          <w:b/>
          <w:i/>
        </w:rPr>
        <w:t>Президиума ВАС РФ</w:t>
      </w:r>
      <w:r>
        <w:rPr>
          <w:i/>
        </w:rPr>
        <w:t xml:space="preserve"> в сфере обеспечения обязательств (залог, поручительство, банковская гарантия), права недвижимости (о купле-продаже будущей недвижимости и инвестиционных контрактах), обязательственного права (о свободе договора, об аренде</w:t>
      </w:r>
      <w:proofErr w:type="gramEnd"/>
      <w:r>
        <w:rPr>
          <w:i/>
        </w:rPr>
        <w:t>, о спорах по кредитным договорам, о прекращении обязательств, о расторжении договоров). </w:t>
      </w:r>
    </w:p>
    <w:p w:rsidR="002D0DA9" w:rsidRPr="002561F0" w:rsidRDefault="002D0DA9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2D0DA9" w:rsidRPr="002D0DA9" w:rsidRDefault="002D0DA9" w:rsidP="002D0DA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2D0DA9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В июле 2017 года принят Федеральный закон от 26.07.2017 № 212-ФЗ, изменяющий правовое регулирование финансовых сделок. Закон уточняет положения договора займа; договора финансирования под уступку денежного требования; договора банковского счета; договора номинального счета; договора счета </w:t>
      </w:r>
      <w:proofErr w:type="spellStart"/>
      <w:r w:rsidRPr="002D0DA9">
        <w:rPr>
          <w:rFonts w:ascii="Times New Roman" w:eastAsia="Times New Roman" w:hAnsi="Times New Roman" w:cs="Times New Roman"/>
          <w:bCs/>
          <w:sz w:val="24"/>
          <w:lang w:eastAsia="ru-RU"/>
        </w:rPr>
        <w:t>эскроу</w:t>
      </w:r>
      <w:proofErr w:type="spellEnd"/>
      <w:r w:rsidRPr="002D0DA9">
        <w:rPr>
          <w:rFonts w:ascii="Times New Roman" w:eastAsia="Times New Roman" w:hAnsi="Times New Roman" w:cs="Times New Roman"/>
          <w:bCs/>
          <w:sz w:val="24"/>
          <w:lang w:eastAsia="ru-RU"/>
        </w:rPr>
        <w:t>; договора публичного депозитного счета; устанавливает особенности договора банковского вклада в драгоценных металлах.</w:t>
      </w:r>
    </w:p>
    <w:p w:rsidR="002D0DA9" w:rsidRPr="002D0DA9" w:rsidRDefault="002D0DA9" w:rsidP="002D0DA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2D0DA9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Реформа Гражданского кодекса внесла огромное количество изменений в обычаи делового оборота. Теперь необходим длительный период времени, чтобы </w:t>
      </w:r>
      <w:proofErr w:type="gramStart"/>
      <w:r w:rsidRPr="002D0DA9">
        <w:rPr>
          <w:rFonts w:ascii="Times New Roman" w:eastAsia="Times New Roman" w:hAnsi="Times New Roman" w:cs="Times New Roman"/>
          <w:bCs/>
          <w:sz w:val="24"/>
          <w:lang w:eastAsia="ru-RU"/>
        </w:rPr>
        <w:t>понять и осознать</w:t>
      </w:r>
      <w:proofErr w:type="gramEnd"/>
      <w:r w:rsidRPr="002D0DA9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принятые новеллы. Наибольшее количество вопросов вызывает применение новелл обязательственного права (договорные отношения). При этом постоянно обновляется судебная практика. Семинар </w:t>
      </w:r>
      <w:proofErr w:type="gramStart"/>
      <w:r w:rsidRPr="002D0DA9">
        <w:rPr>
          <w:rFonts w:ascii="Times New Roman" w:eastAsia="Times New Roman" w:hAnsi="Times New Roman" w:cs="Times New Roman"/>
          <w:bCs/>
          <w:sz w:val="24"/>
          <w:lang w:eastAsia="ru-RU"/>
        </w:rPr>
        <w:t>сориентирует участников по данным вопросам и поможет</w:t>
      </w:r>
      <w:proofErr w:type="gramEnd"/>
      <w:r w:rsidRPr="002D0DA9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быстрее разобраться во всех тонкостях  Гражданского Кодекса и не только.</w:t>
      </w:r>
      <w:bookmarkStart w:id="2" w:name="_GoBack"/>
      <w:bookmarkEnd w:id="2"/>
    </w:p>
    <w:p w:rsidR="002D0DA9" w:rsidRPr="00484075" w:rsidRDefault="002D0DA9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432081" w:rsidRPr="00E9555E" w:rsidRDefault="00432081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pPr>
      <w:r w:rsidRPr="00E9555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ПРОГРАММА СЕМИНАРА:</w:t>
      </w:r>
    </w:p>
    <w:p w:rsidR="006719A2" w:rsidRPr="00B747C2" w:rsidRDefault="006719A2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FE4D9F" w:rsidRPr="00FE4D9F" w:rsidRDefault="00FE4D9F" w:rsidP="00FE4D9F">
      <w:pPr>
        <w:pStyle w:val="a8"/>
        <w:jc w:val="both"/>
        <w:rPr>
          <w:b/>
          <w:color w:val="000000"/>
          <w:sz w:val="24"/>
          <w:szCs w:val="24"/>
          <w:lang w:val="ru-RU" w:eastAsia="ru-RU"/>
        </w:rPr>
      </w:pPr>
      <w:r w:rsidRPr="00FE4D9F">
        <w:rPr>
          <w:b/>
          <w:color w:val="000000"/>
          <w:sz w:val="24"/>
          <w:szCs w:val="24"/>
          <w:lang w:val="ru-RU" w:eastAsia="ru-RU"/>
        </w:rPr>
        <w:t>1. Свобода договора и ее ограничения. Императивные и диспозитивные нормы обязательст</w:t>
      </w:r>
      <w:r w:rsidR="009A66FC">
        <w:rPr>
          <w:b/>
          <w:color w:val="000000"/>
          <w:sz w:val="24"/>
          <w:szCs w:val="24"/>
          <w:lang w:val="ru-RU" w:eastAsia="ru-RU"/>
        </w:rPr>
        <w:t>в</w:t>
      </w:r>
      <w:r w:rsidRPr="00FE4D9F">
        <w:rPr>
          <w:b/>
          <w:color w:val="000000"/>
          <w:sz w:val="24"/>
          <w:szCs w:val="24"/>
          <w:lang w:val="ru-RU" w:eastAsia="ru-RU"/>
        </w:rPr>
        <w:t>енного права.</w:t>
      </w:r>
    </w:p>
    <w:p w:rsidR="00FE4D9F" w:rsidRPr="00FE4D9F" w:rsidRDefault="00FE4D9F" w:rsidP="00FE4D9F">
      <w:pPr>
        <w:pStyle w:val="a8"/>
        <w:jc w:val="both"/>
        <w:rPr>
          <w:b/>
          <w:color w:val="000000"/>
          <w:sz w:val="24"/>
          <w:szCs w:val="24"/>
          <w:lang w:val="ru-RU" w:eastAsia="ru-RU"/>
        </w:rPr>
      </w:pPr>
      <w:r w:rsidRPr="00FE4D9F">
        <w:rPr>
          <w:b/>
          <w:color w:val="000000"/>
          <w:sz w:val="24"/>
          <w:szCs w:val="24"/>
          <w:lang w:val="ru-RU" w:eastAsia="ru-RU"/>
        </w:rPr>
        <w:t>2. Доктрина несправедливых договорных условий и ее реализация на практике судов.</w:t>
      </w:r>
    </w:p>
    <w:p w:rsidR="00FE4D9F" w:rsidRPr="00FE4D9F" w:rsidRDefault="00FE4D9F" w:rsidP="00FE4D9F">
      <w:pPr>
        <w:pStyle w:val="a8"/>
        <w:jc w:val="both"/>
        <w:rPr>
          <w:b/>
          <w:color w:val="000000"/>
          <w:sz w:val="24"/>
          <w:szCs w:val="24"/>
          <w:lang w:val="ru-RU" w:eastAsia="ru-RU"/>
        </w:rPr>
      </w:pPr>
      <w:r w:rsidRPr="00FE4D9F">
        <w:rPr>
          <w:b/>
          <w:color w:val="000000"/>
          <w:sz w:val="24"/>
          <w:szCs w:val="24"/>
          <w:lang w:val="ru-RU" w:eastAsia="ru-RU"/>
        </w:rPr>
        <w:t>3. Расторжение договора по соглашению сторон и в судебном порядке. Односторонний отказ от договора.</w:t>
      </w:r>
    </w:p>
    <w:p w:rsidR="0009066A" w:rsidRDefault="00FE4D9F" w:rsidP="00FE4D9F">
      <w:pPr>
        <w:pStyle w:val="a8"/>
        <w:jc w:val="both"/>
        <w:rPr>
          <w:b/>
          <w:color w:val="000000"/>
          <w:sz w:val="24"/>
          <w:szCs w:val="24"/>
          <w:lang w:val="ru-RU" w:eastAsia="ru-RU"/>
        </w:rPr>
      </w:pPr>
      <w:r w:rsidRPr="00FE4D9F">
        <w:rPr>
          <w:b/>
          <w:color w:val="000000"/>
          <w:sz w:val="24"/>
          <w:szCs w:val="24"/>
          <w:lang w:val="ru-RU" w:eastAsia="ru-RU"/>
        </w:rPr>
        <w:t>Плата за отказ от договора.</w:t>
      </w:r>
    </w:p>
    <w:p w:rsidR="00FE4D9F" w:rsidRDefault="00FE4D9F" w:rsidP="00FE4D9F">
      <w:pPr>
        <w:pStyle w:val="a8"/>
        <w:jc w:val="both"/>
        <w:rPr>
          <w:b/>
          <w:color w:val="000000"/>
          <w:sz w:val="24"/>
          <w:szCs w:val="24"/>
          <w:lang w:val="ru-RU" w:eastAsia="ru-RU"/>
        </w:rPr>
      </w:pPr>
    </w:p>
    <w:p w:rsidR="00E77362" w:rsidRPr="00821FC0" w:rsidRDefault="00F03C84" w:rsidP="0043208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</w:t>
      </w:r>
      <w:r w:rsidR="00C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37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 w:rsidR="00432081"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="00432081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.*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21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Обеспечиваем раздаточным материалом.</w:t>
      </w:r>
    </w:p>
    <w:p w:rsidR="00E77362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всех участников </w:t>
      </w:r>
      <w:r w:rsidR="00F37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организуется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кофе-пауз</w:t>
      </w:r>
      <w:r w:rsidR="00F37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</w:p>
    <w:p w:rsidR="00432081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Скидки:- при оплате до </w:t>
      </w:r>
      <w:r w:rsidR="006B102A" w:rsidRPr="006B102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F37EA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B102A" w:rsidRPr="006B102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5A4CA7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A2F7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7519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AE31C6">
        <w:rPr>
          <w:rFonts w:ascii="Times New Roman" w:eastAsia="Calibri" w:hAnsi="Times New Roman" w:cs="Times New Roman"/>
          <w:b/>
          <w:sz w:val="24"/>
          <w:szCs w:val="24"/>
        </w:rPr>
        <w:t xml:space="preserve"> 10%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17255"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 xml:space="preserve">0 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="006B4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- при участии от 2-х человек </w:t>
      </w:r>
      <w:r w:rsidR="00AE31C6">
        <w:rPr>
          <w:rFonts w:ascii="Times New Roman" w:eastAsia="Calibri" w:hAnsi="Times New Roman" w:cs="Times New Roman"/>
          <w:sz w:val="24"/>
          <w:szCs w:val="24"/>
        </w:rPr>
        <w:t>– 7%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sz w:val="24"/>
          <w:szCs w:val="24"/>
        </w:rPr>
        <w:t>2</w:t>
      </w:r>
      <w:r w:rsidR="00C5752A">
        <w:rPr>
          <w:rFonts w:ascii="Times New Roman" w:eastAsia="Calibri" w:hAnsi="Times New Roman" w:cs="Times New Roman"/>
          <w:sz w:val="24"/>
          <w:szCs w:val="24"/>
        </w:rPr>
        <w:t>232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49413B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2B30FC">
        <w:rPr>
          <w:rFonts w:ascii="Times New Roman" w:eastAsia="Calibri" w:hAnsi="Times New Roman" w:cs="Times New Roman"/>
          <w:sz w:val="24"/>
          <w:szCs w:val="24"/>
        </w:rPr>
        <w:t>при регистрации на сайте</w:t>
      </w:r>
      <w:r w:rsidR="00AE31C6">
        <w:rPr>
          <w:rFonts w:ascii="Times New Roman" w:eastAsia="Calibri" w:hAnsi="Times New Roman" w:cs="Times New Roman"/>
          <w:sz w:val="24"/>
          <w:szCs w:val="24"/>
        </w:rPr>
        <w:t xml:space="preserve"> – 5%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sz w:val="24"/>
          <w:szCs w:val="24"/>
        </w:rPr>
        <w:t>2</w:t>
      </w:r>
      <w:r w:rsidR="00C5752A">
        <w:rPr>
          <w:rFonts w:ascii="Times New Roman" w:eastAsia="Calibri" w:hAnsi="Times New Roman" w:cs="Times New Roman"/>
          <w:sz w:val="24"/>
          <w:szCs w:val="24"/>
        </w:rPr>
        <w:t>2</w:t>
      </w:r>
      <w:r w:rsidR="00CF1764">
        <w:rPr>
          <w:rFonts w:ascii="Times New Roman" w:eastAsia="Calibri" w:hAnsi="Times New Roman" w:cs="Times New Roman"/>
          <w:sz w:val="24"/>
          <w:szCs w:val="24"/>
        </w:rPr>
        <w:t>80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44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>- по дисконтной карте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sz w:val="24"/>
          <w:szCs w:val="24"/>
        </w:rPr>
        <w:t>20</w:t>
      </w:r>
      <w:r w:rsidR="00C5752A">
        <w:rPr>
          <w:rFonts w:ascii="Times New Roman" w:eastAsia="Calibri" w:hAnsi="Times New Roman" w:cs="Times New Roman"/>
          <w:sz w:val="24"/>
          <w:szCs w:val="24"/>
        </w:rPr>
        <w:t>40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р.)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233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B30FC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4C75" w:rsidRPr="00BF7FCF" w:rsidRDefault="007F4C75" w:rsidP="008F5B95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9"/>
        <w:gridCol w:w="5455"/>
      </w:tblGrid>
      <w:tr w:rsidR="00432081" w:rsidRPr="00ED237C" w:rsidTr="00ED237C">
        <w:tc>
          <w:tcPr>
            <w:tcW w:w="5211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состоится по адресу: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моленск,</w:t>
            </w: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Коммунистическая, 6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центр компании “Выбор”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семинар:</w:t>
            </w:r>
          </w:p>
          <w:p w:rsidR="00262C08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</w:t>
            </w:r>
            <w:r w:rsidR="00432081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(4812) 701-202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432081" w:rsidRPr="00253593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</w:t>
            </w:r>
            <w:proofErr w:type="gramStart"/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</w:t>
            </w:r>
            <w:proofErr w:type="spellEnd"/>
            <w:r w:rsidR="00966AF3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966AF3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60-67-27;</w:t>
            </w:r>
            <w:r w:rsidR="00966AF3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8-910-117-83-97</w:t>
            </w:r>
          </w:p>
          <w:p w:rsidR="00B475AF" w:rsidRPr="00253593" w:rsidRDefault="00B475AF" w:rsidP="00B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umc</w:t>
            </w:r>
            <w:proofErr w:type="spellEnd"/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@</w:t>
            </w:r>
            <w:proofErr w:type="spellStart"/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icvibor</w:t>
            </w:r>
            <w:proofErr w:type="spellEnd"/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475AF" w:rsidRPr="00B475AF" w:rsidRDefault="00B475AF" w:rsidP="00B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Сайт: 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http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://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icvibor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rent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81" w:rsidRPr="00ED237C" w:rsidTr="00ED237C">
        <w:trPr>
          <w:trHeight w:val="87"/>
        </w:trPr>
        <w:tc>
          <w:tcPr>
            <w:tcW w:w="10682" w:type="dxa"/>
            <w:gridSpan w:val="2"/>
            <w:shd w:val="clear" w:color="auto" w:fill="auto"/>
            <w:vAlign w:val="center"/>
          </w:tcPr>
          <w:p w:rsidR="007F4C75" w:rsidRDefault="007F4C75"/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lastRenderedPageBreak/>
                    <w:t>Предварительная регистрация обязательна!</w:t>
                  </w:r>
                </w:p>
                <w:p w:rsidR="007F4C75" w:rsidRPr="004D2620" w:rsidRDefault="007F4C75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4D2620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u w:val="single"/>
                      <w:lang w:eastAsia="ru-RU"/>
                    </w:rPr>
                  </w:pPr>
                </w:p>
                <w:p w:rsidR="007F4C75" w:rsidRPr="002B30FC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Вход по платежным документам. </w:t>
                  </w:r>
                  <w:r w:rsidR="00A9504D"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 счет оплаты принимаем гарантийные письма. 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Возможна оплата за наличный расчет в день проведения семинара.</w:t>
                  </w: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2081" w:rsidRPr="004D2620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Получатель: ООО «Консультационный Центр», ИНН 6730049994, КПП 673001001, </w:t>
                  </w:r>
                  <w:proofErr w:type="gramStart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40702810459020005413 в Смоленском отделении N8609 ПАО Сбербанка России г. Смоленска,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F1190E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3086"/>
    <w:multiLevelType w:val="hybridMultilevel"/>
    <w:tmpl w:val="95CACDF8"/>
    <w:lvl w:ilvl="0" w:tplc="1FE03AE6">
      <w:numFmt w:val="bullet"/>
      <w:lvlText w:val=""/>
      <w:lvlJc w:val="left"/>
      <w:pPr>
        <w:ind w:left="95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D81E9412">
      <w:numFmt w:val="bullet"/>
      <w:lvlText w:val="•"/>
      <w:lvlJc w:val="left"/>
      <w:pPr>
        <w:ind w:left="1834" w:hanging="425"/>
      </w:pPr>
      <w:rPr>
        <w:rFonts w:hint="default"/>
      </w:rPr>
    </w:lvl>
    <w:lvl w:ilvl="2" w:tplc="EC24E746">
      <w:numFmt w:val="bullet"/>
      <w:lvlText w:val="•"/>
      <w:lvlJc w:val="left"/>
      <w:pPr>
        <w:ind w:left="2709" w:hanging="425"/>
      </w:pPr>
      <w:rPr>
        <w:rFonts w:hint="default"/>
      </w:rPr>
    </w:lvl>
    <w:lvl w:ilvl="3" w:tplc="235CC91A">
      <w:numFmt w:val="bullet"/>
      <w:lvlText w:val="•"/>
      <w:lvlJc w:val="left"/>
      <w:pPr>
        <w:ind w:left="3583" w:hanging="425"/>
      </w:pPr>
      <w:rPr>
        <w:rFonts w:hint="default"/>
      </w:rPr>
    </w:lvl>
    <w:lvl w:ilvl="4" w:tplc="5FAA94C0">
      <w:numFmt w:val="bullet"/>
      <w:lvlText w:val="•"/>
      <w:lvlJc w:val="left"/>
      <w:pPr>
        <w:ind w:left="4458" w:hanging="425"/>
      </w:pPr>
      <w:rPr>
        <w:rFonts w:hint="default"/>
      </w:rPr>
    </w:lvl>
    <w:lvl w:ilvl="5" w:tplc="1D68A46E">
      <w:numFmt w:val="bullet"/>
      <w:lvlText w:val="•"/>
      <w:lvlJc w:val="left"/>
      <w:pPr>
        <w:ind w:left="5333" w:hanging="425"/>
      </w:pPr>
      <w:rPr>
        <w:rFonts w:hint="default"/>
      </w:rPr>
    </w:lvl>
    <w:lvl w:ilvl="6" w:tplc="8B7214C0">
      <w:numFmt w:val="bullet"/>
      <w:lvlText w:val="•"/>
      <w:lvlJc w:val="left"/>
      <w:pPr>
        <w:ind w:left="6207" w:hanging="425"/>
      </w:pPr>
      <w:rPr>
        <w:rFonts w:hint="default"/>
      </w:rPr>
    </w:lvl>
    <w:lvl w:ilvl="7" w:tplc="8CD434FE">
      <w:numFmt w:val="bullet"/>
      <w:lvlText w:val="•"/>
      <w:lvlJc w:val="left"/>
      <w:pPr>
        <w:ind w:left="7082" w:hanging="425"/>
      </w:pPr>
      <w:rPr>
        <w:rFonts w:hint="default"/>
      </w:rPr>
    </w:lvl>
    <w:lvl w:ilvl="8" w:tplc="5BCCF910">
      <w:numFmt w:val="bullet"/>
      <w:lvlText w:val="•"/>
      <w:lvlJc w:val="left"/>
      <w:pPr>
        <w:ind w:left="7957" w:hanging="425"/>
      </w:pPr>
      <w:rPr>
        <w:rFonts w:hint="default"/>
      </w:rPr>
    </w:lvl>
  </w:abstractNum>
  <w:abstractNum w:abstractNumId="1">
    <w:nsid w:val="032846D1"/>
    <w:multiLevelType w:val="hybridMultilevel"/>
    <w:tmpl w:val="4FDE698E"/>
    <w:lvl w:ilvl="0" w:tplc="B7908802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">
    <w:nsid w:val="043F11B1"/>
    <w:multiLevelType w:val="hybridMultilevel"/>
    <w:tmpl w:val="DDE4E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0D3F"/>
    <w:multiLevelType w:val="hybridMultilevel"/>
    <w:tmpl w:val="B07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63640"/>
    <w:multiLevelType w:val="hybridMultilevel"/>
    <w:tmpl w:val="E47C2E78"/>
    <w:lvl w:ilvl="0" w:tplc="0419000F">
      <w:start w:val="1"/>
      <w:numFmt w:val="decimal"/>
      <w:lvlText w:val="%1."/>
      <w:lvlJc w:val="left"/>
      <w:pPr>
        <w:ind w:left="1147" w:hanging="428"/>
      </w:pPr>
      <w:rPr>
        <w:rFonts w:hint="default"/>
        <w:w w:val="100"/>
        <w:sz w:val="22"/>
        <w:szCs w:val="22"/>
      </w:rPr>
    </w:lvl>
    <w:lvl w:ilvl="1" w:tplc="18ACE06C">
      <w:numFmt w:val="bullet"/>
      <w:lvlText w:val=""/>
      <w:lvlJc w:val="left"/>
      <w:pPr>
        <w:ind w:left="157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2CA2C414">
      <w:numFmt w:val="bullet"/>
      <w:lvlText w:val="•"/>
      <w:lvlJc w:val="left"/>
      <w:pPr>
        <w:ind w:left="2556" w:hanging="425"/>
      </w:pPr>
      <w:rPr>
        <w:rFonts w:hint="default"/>
      </w:rPr>
    </w:lvl>
    <w:lvl w:ilvl="3" w:tplc="EAD6BF2A">
      <w:numFmt w:val="bullet"/>
      <w:lvlText w:val="•"/>
      <w:lvlJc w:val="left"/>
      <w:pPr>
        <w:ind w:left="3532" w:hanging="425"/>
      </w:pPr>
      <w:rPr>
        <w:rFonts w:hint="default"/>
      </w:rPr>
    </w:lvl>
    <w:lvl w:ilvl="4" w:tplc="5016C558">
      <w:numFmt w:val="bullet"/>
      <w:lvlText w:val="•"/>
      <w:lvlJc w:val="left"/>
      <w:pPr>
        <w:ind w:left="4508" w:hanging="425"/>
      </w:pPr>
      <w:rPr>
        <w:rFonts w:hint="default"/>
      </w:rPr>
    </w:lvl>
    <w:lvl w:ilvl="5" w:tplc="40C29FA8">
      <w:numFmt w:val="bullet"/>
      <w:lvlText w:val="•"/>
      <w:lvlJc w:val="left"/>
      <w:pPr>
        <w:ind w:left="5485" w:hanging="425"/>
      </w:pPr>
      <w:rPr>
        <w:rFonts w:hint="default"/>
      </w:rPr>
    </w:lvl>
    <w:lvl w:ilvl="6" w:tplc="99A6FBE2">
      <w:numFmt w:val="bullet"/>
      <w:lvlText w:val="•"/>
      <w:lvlJc w:val="left"/>
      <w:pPr>
        <w:ind w:left="6461" w:hanging="425"/>
      </w:pPr>
      <w:rPr>
        <w:rFonts w:hint="default"/>
      </w:rPr>
    </w:lvl>
    <w:lvl w:ilvl="7" w:tplc="8ED28274">
      <w:numFmt w:val="bullet"/>
      <w:lvlText w:val="•"/>
      <w:lvlJc w:val="left"/>
      <w:pPr>
        <w:ind w:left="7437" w:hanging="425"/>
      </w:pPr>
      <w:rPr>
        <w:rFonts w:hint="default"/>
      </w:rPr>
    </w:lvl>
    <w:lvl w:ilvl="8" w:tplc="1040E33E">
      <w:numFmt w:val="bullet"/>
      <w:lvlText w:val="•"/>
      <w:lvlJc w:val="left"/>
      <w:pPr>
        <w:ind w:left="8413" w:hanging="425"/>
      </w:pPr>
      <w:rPr>
        <w:rFonts w:hint="default"/>
      </w:rPr>
    </w:lvl>
  </w:abstractNum>
  <w:abstractNum w:abstractNumId="5">
    <w:nsid w:val="0BCA7740"/>
    <w:multiLevelType w:val="hybridMultilevel"/>
    <w:tmpl w:val="4C20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C76D0"/>
    <w:multiLevelType w:val="hybridMultilevel"/>
    <w:tmpl w:val="BB3C5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AD14D8"/>
    <w:multiLevelType w:val="hybridMultilevel"/>
    <w:tmpl w:val="B8B8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B0AC5"/>
    <w:multiLevelType w:val="hybridMultilevel"/>
    <w:tmpl w:val="C760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04AD2"/>
    <w:multiLevelType w:val="hybridMultilevel"/>
    <w:tmpl w:val="37481052"/>
    <w:lvl w:ilvl="0" w:tplc="B7908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A0984"/>
    <w:multiLevelType w:val="hybridMultilevel"/>
    <w:tmpl w:val="6934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01D07"/>
    <w:multiLevelType w:val="hybridMultilevel"/>
    <w:tmpl w:val="9CF6F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CE38A1"/>
    <w:multiLevelType w:val="hybridMultilevel"/>
    <w:tmpl w:val="7FDE0B4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102D60"/>
    <w:multiLevelType w:val="hybridMultilevel"/>
    <w:tmpl w:val="D2D4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05EA8"/>
    <w:multiLevelType w:val="hybridMultilevel"/>
    <w:tmpl w:val="6C0E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71813"/>
    <w:multiLevelType w:val="hybridMultilevel"/>
    <w:tmpl w:val="B92E9B9C"/>
    <w:lvl w:ilvl="0" w:tplc="53ECECF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E03B7"/>
    <w:multiLevelType w:val="hybridMultilevel"/>
    <w:tmpl w:val="788A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30684"/>
    <w:multiLevelType w:val="hybridMultilevel"/>
    <w:tmpl w:val="2D52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02F61"/>
    <w:multiLevelType w:val="hybridMultilevel"/>
    <w:tmpl w:val="D2CEE6A2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78257B"/>
    <w:multiLevelType w:val="hybridMultilevel"/>
    <w:tmpl w:val="57DE3EFC"/>
    <w:lvl w:ilvl="0" w:tplc="9E465C52">
      <w:numFmt w:val="bullet"/>
      <w:lvlText w:val=""/>
      <w:lvlJc w:val="left"/>
      <w:pPr>
        <w:ind w:left="1147" w:hanging="42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18ACE06C">
      <w:numFmt w:val="bullet"/>
      <w:lvlText w:val=""/>
      <w:lvlJc w:val="left"/>
      <w:pPr>
        <w:ind w:left="157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2CA2C414">
      <w:numFmt w:val="bullet"/>
      <w:lvlText w:val="•"/>
      <w:lvlJc w:val="left"/>
      <w:pPr>
        <w:ind w:left="2556" w:hanging="425"/>
      </w:pPr>
      <w:rPr>
        <w:rFonts w:hint="default"/>
      </w:rPr>
    </w:lvl>
    <w:lvl w:ilvl="3" w:tplc="EAD6BF2A">
      <w:numFmt w:val="bullet"/>
      <w:lvlText w:val="•"/>
      <w:lvlJc w:val="left"/>
      <w:pPr>
        <w:ind w:left="3532" w:hanging="425"/>
      </w:pPr>
      <w:rPr>
        <w:rFonts w:hint="default"/>
      </w:rPr>
    </w:lvl>
    <w:lvl w:ilvl="4" w:tplc="5016C558">
      <w:numFmt w:val="bullet"/>
      <w:lvlText w:val="•"/>
      <w:lvlJc w:val="left"/>
      <w:pPr>
        <w:ind w:left="4508" w:hanging="425"/>
      </w:pPr>
      <w:rPr>
        <w:rFonts w:hint="default"/>
      </w:rPr>
    </w:lvl>
    <w:lvl w:ilvl="5" w:tplc="40C29FA8">
      <w:numFmt w:val="bullet"/>
      <w:lvlText w:val="•"/>
      <w:lvlJc w:val="left"/>
      <w:pPr>
        <w:ind w:left="5485" w:hanging="425"/>
      </w:pPr>
      <w:rPr>
        <w:rFonts w:hint="default"/>
      </w:rPr>
    </w:lvl>
    <w:lvl w:ilvl="6" w:tplc="99A6FBE2">
      <w:numFmt w:val="bullet"/>
      <w:lvlText w:val="•"/>
      <w:lvlJc w:val="left"/>
      <w:pPr>
        <w:ind w:left="6461" w:hanging="425"/>
      </w:pPr>
      <w:rPr>
        <w:rFonts w:hint="default"/>
      </w:rPr>
    </w:lvl>
    <w:lvl w:ilvl="7" w:tplc="8ED28274">
      <w:numFmt w:val="bullet"/>
      <w:lvlText w:val="•"/>
      <w:lvlJc w:val="left"/>
      <w:pPr>
        <w:ind w:left="7437" w:hanging="425"/>
      </w:pPr>
      <w:rPr>
        <w:rFonts w:hint="default"/>
      </w:rPr>
    </w:lvl>
    <w:lvl w:ilvl="8" w:tplc="1040E33E">
      <w:numFmt w:val="bullet"/>
      <w:lvlText w:val="•"/>
      <w:lvlJc w:val="left"/>
      <w:pPr>
        <w:ind w:left="8413" w:hanging="425"/>
      </w:pPr>
      <w:rPr>
        <w:rFonts w:hint="default"/>
      </w:rPr>
    </w:lvl>
  </w:abstractNum>
  <w:abstractNum w:abstractNumId="20">
    <w:nsid w:val="3EB84C70"/>
    <w:multiLevelType w:val="hybridMultilevel"/>
    <w:tmpl w:val="486473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0083B82"/>
    <w:multiLevelType w:val="hybridMultilevel"/>
    <w:tmpl w:val="3DD2FDFC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2">
    <w:nsid w:val="42003899"/>
    <w:multiLevelType w:val="hybridMultilevel"/>
    <w:tmpl w:val="26F4EC6A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abstractNum w:abstractNumId="23">
    <w:nsid w:val="473467AB"/>
    <w:multiLevelType w:val="hybridMultilevel"/>
    <w:tmpl w:val="AA2E245A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35750A"/>
    <w:multiLevelType w:val="hybridMultilevel"/>
    <w:tmpl w:val="9CF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007C5F"/>
    <w:multiLevelType w:val="hybridMultilevel"/>
    <w:tmpl w:val="43C8C362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6">
    <w:nsid w:val="48D96C61"/>
    <w:multiLevelType w:val="hybridMultilevel"/>
    <w:tmpl w:val="4FBE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8B7ED7"/>
    <w:multiLevelType w:val="hybridMultilevel"/>
    <w:tmpl w:val="AF72522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8">
    <w:nsid w:val="4FA24CEC"/>
    <w:multiLevelType w:val="hybridMultilevel"/>
    <w:tmpl w:val="7E168D6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4E51AC4"/>
    <w:multiLevelType w:val="hybridMultilevel"/>
    <w:tmpl w:val="34727B0C"/>
    <w:lvl w:ilvl="0" w:tplc="B79088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07360D"/>
    <w:multiLevelType w:val="hybridMultilevel"/>
    <w:tmpl w:val="860849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1">
    <w:nsid w:val="59B300E3"/>
    <w:multiLevelType w:val="hybridMultilevel"/>
    <w:tmpl w:val="54A8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AC42B2"/>
    <w:multiLevelType w:val="hybridMultilevel"/>
    <w:tmpl w:val="B292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AF7F65"/>
    <w:multiLevelType w:val="hybridMultilevel"/>
    <w:tmpl w:val="18E6937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D0454D"/>
    <w:multiLevelType w:val="hybridMultilevel"/>
    <w:tmpl w:val="BEBC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8F41D9"/>
    <w:multiLevelType w:val="hybridMultilevel"/>
    <w:tmpl w:val="D064312E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6">
    <w:nsid w:val="66C67888"/>
    <w:multiLevelType w:val="hybridMultilevel"/>
    <w:tmpl w:val="59AA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2E2942"/>
    <w:multiLevelType w:val="hybridMultilevel"/>
    <w:tmpl w:val="1136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9E758F"/>
    <w:multiLevelType w:val="hybridMultilevel"/>
    <w:tmpl w:val="6A768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FE87A2B"/>
    <w:multiLevelType w:val="hybridMultilevel"/>
    <w:tmpl w:val="52C6E504"/>
    <w:lvl w:ilvl="0" w:tplc="4AE0E564">
      <w:numFmt w:val="bullet"/>
      <w:lvlText w:val=""/>
      <w:lvlJc w:val="left"/>
      <w:pPr>
        <w:ind w:left="527" w:hanging="428"/>
      </w:pPr>
      <w:rPr>
        <w:rFonts w:hint="default"/>
        <w:w w:val="100"/>
      </w:rPr>
    </w:lvl>
    <w:lvl w:ilvl="1" w:tplc="E96A05C6">
      <w:numFmt w:val="bullet"/>
      <w:lvlText w:val=""/>
      <w:lvlJc w:val="left"/>
      <w:pPr>
        <w:ind w:left="952" w:hanging="360"/>
      </w:pPr>
      <w:rPr>
        <w:rFonts w:hint="default"/>
        <w:w w:val="100"/>
      </w:rPr>
    </w:lvl>
    <w:lvl w:ilvl="2" w:tplc="F00A69D4">
      <w:numFmt w:val="bullet"/>
      <w:lvlText w:val="•"/>
      <w:lvlJc w:val="left"/>
      <w:pPr>
        <w:ind w:left="1931" w:hanging="360"/>
      </w:pPr>
      <w:rPr>
        <w:rFonts w:hint="default"/>
      </w:rPr>
    </w:lvl>
    <w:lvl w:ilvl="3" w:tplc="87369C3A">
      <w:numFmt w:val="bullet"/>
      <w:lvlText w:val="•"/>
      <w:lvlJc w:val="left"/>
      <w:pPr>
        <w:ind w:left="2903" w:hanging="360"/>
      </w:pPr>
      <w:rPr>
        <w:rFonts w:hint="default"/>
      </w:rPr>
    </w:lvl>
    <w:lvl w:ilvl="4" w:tplc="E852278A">
      <w:numFmt w:val="bullet"/>
      <w:lvlText w:val="•"/>
      <w:lvlJc w:val="left"/>
      <w:pPr>
        <w:ind w:left="3875" w:hanging="360"/>
      </w:pPr>
      <w:rPr>
        <w:rFonts w:hint="default"/>
      </w:rPr>
    </w:lvl>
    <w:lvl w:ilvl="5" w:tplc="4F8AB84E">
      <w:numFmt w:val="bullet"/>
      <w:lvlText w:val="•"/>
      <w:lvlJc w:val="left"/>
      <w:pPr>
        <w:ind w:left="4847" w:hanging="360"/>
      </w:pPr>
      <w:rPr>
        <w:rFonts w:hint="default"/>
      </w:rPr>
    </w:lvl>
    <w:lvl w:ilvl="6" w:tplc="40F6865C">
      <w:numFmt w:val="bullet"/>
      <w:lvlText w:val="•"/>
      <w:lvlJc w:val="left"/>
      <w:pPr>
        <w:ind w:left="5819" w:hanging="360"/>
      </w:pPr>
      <w:rPr>
        <w:rFonts w:hint="default"/>
      </w:rPr>
    </w:lvl>
    <w:lvl w:ilvl="7" w:tplc="21B0CBE4"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93BAF4BA">
      <w:numFmt w:val="bullet"/>
      <w:lvlText w:val="•"/>
      <w:lvlJc w:val="left"/>
      <w:pPr>
        <w:ind w:left="7762" w:hanging="360"/>
      </w:pPr>
      <w:rPr>
        <w:rFonts w:hint="default"/>
      </w:rPr>
    </w:lvl>
  </w:abstractNum>
  <w:abstractNum w:abstractNumId="40">
    <w:nsid w:val="74786BFE"/>
    <w:multiLevelType w:val="hybridMultilevel"/>
    <w:tmpl w:val="5FB624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F5527B8"/>
    <w:multiLevelType w:val="hybridMultilevel"/>
    <w:tmpl w:val="0E7E38A0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18"/>
  </w:num>
  <w:num w:numId="2">
    <w:abstractNumId w:val="23"/>
  </w:num>
  <w:num w:numId="3">
    <w:abstractNumId w:val="5"/>
  </w:num>
  <w:num w:numId="4">
    <w:abstractNumId w:val="17"/>
  </w:num>
  <w:num w:numId="5">
    <w:abstractNumId w:val="34"/>
  </w:num>
  <w:num w:numId="6">
    <w:abstractNumId w:val="15"/>
  </w:num>
  <w:num w:numId="7">
    <w:abstractNumId w:val="1"/>
  </w:num>
  <w:num w:numId="8">
    <w:abstractNumId w:val="9"/>
  </w:num>
  <w:num w:numId="9">
    <w:abstractNumId w:val="29"/>
  </w:num>
  <w:num w:numId="10">
    <w:abstractNumId w:val="38"/>
  </w:num>
  <w:num w:numId="11">
    <w:abstractNumId w:val="36"/>
  </w:num>
  <w:num w:numId="12">
    <w:abstractNumId w:val="11"/>
  </w:num>
  <w:num w:numId="13">
    <w:abstractNumId w:val="28"/>
  </w:num>
  <w:num w:numId="14">
    <w:abstractNumId w:val="6"/>
  </w:num>
  <w:num w:numId="15">
    <w:abstractNumId w:val="1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0"/>
  </w:num>
  <w:num w:numId="19">
    <w:abstractNumId w:val="35"/>
  </w:num>
  <w:num w:numId="20">
    <w:abstractNumId w:val="21"/>
  </w:num>
  <w:num w:numId="21">
    <w:abstractNumId w:val="25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2"/>
  </w:num>
  <w:num w:numId="25">
    <w:abstractNumId w:val="8"/>
  </w:num>
  <w:num w:numId="26">
    <w:abstractNumId w:val="24"/>
  </w:num>
  <w:num w:numId="27">
    <w:abstractNumId w:val="37"/>
  </w:num>
  <w:num w:numId="28">
    <w:abstractNumId w:val="40"/>
  </w:num>
  <w:num w:numId="29">
    <w:abstractNumId w:val="20"/>
  </w:num>
  <w:num w:numId="30">
    <w:abstractNumId w:val="32"/>
  </w:num>
  <w:num w:numId="31">
    <w:abstractNumId w:val="10"/>
  </w:num>
  <w:num w:numId="32">
    <w:abstractNumId w:val="31"/>
  </w:num>
  <w:num w:numId="33">
    <w:abstractNumId w:val="3"/>
  </w:num>
  <w:num w:numId="34">
    <w:abstractNumId w:val="16"/>
  </w:num>
  <w:num w:numId="35">
    <w:abstractNumId w:val="7"/>
  </w:num>
  <w:num w:numId="36">
    <w:abstractNumId w:val="2"/>
  </w:num>
  <w:num w:numId="37">
    <w:abstractNumId w:val="39"/>
  </w:num>
  <w:num w:numId="38">
    <w:abstractNumId w:val="0"/>
  </w:num>
  <w:num w:numId="39">
    <w:abstractNumId w:val="19"/>
  </w:num>
  <w:num w:numId="40">
    <w:abstractNumId w:val="4"/>
  </w:num>
  <w:num w:numId="41">
    <w:abstractNumId w:val="14"/>
  </w:num>
  <w:num w:numId="42">
    <w:abstractNumId w:val="33"/>
  </w:num>
  <w:num w:numId="43">
    <w:abstractNumId w:val="26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5091"/>
    <w:rsid w:val="000158E5"/>
    <w:rsid w:val="0003234C"/>
    <w:rsid w:val="0009066A"/>
    <w:rsid w:val="000B296D"/>
    <w:rsid w:val="000B56CA"/>
    <w:rsid w:val="000C4493"/>
    <w:rsid w:val="000C535B"/>
    <w:rsid w:val="000C63F4"/>
    <w:rsid w:val="000D099E"/>
    <w:rsid w:val="000D1863"/>
    <w:rsid w:val="000E35F2"/>
    <w:rsid w:val="000E7DA4"/>
    <w:rsid w:val="000F272E"/>
    <w:rsid w:val="000F7284"/>
    <w:rsid w:val="0011224D"/>
    <w:rsid w:val="00122E25"/>
    <w:rsid w:val="001233F9"/>
    <w:rsid w:val="00126941"/>
    <w:rsid w:val="00134F2C"/>
    <w:rsid w:val="00145F79"/>
    <w:rsid w:val="00197F02"/>
    <w:rsid w:val="001B39F3"/>
    <w:rsid w:val="001B749D"/>
    <w:rsid w:val="001F124B"/>
    <w:rsid w:val="001F3D63"/>
    <w:rsid w:val="0021157B"/>
    <w:rsid w:val="0023546D"/>
    <w:rsid w:val="00253593"/>
    <w:rsid w:val="002561F0"/>
    <w:rsid w:val="00262C08"/>
    <w:rsid w:val="0027630C"/>
    <w:rsid w:val="0028574A"/>
    <w:rsid w:val="002A3C2D"/>
    <w:rsid w:val="002B0150"/>
    <w:rsid w:val="002B30FC"/>
    <w:rsid w:val="002C6DE8"/>
    <w:rsid w:val="002C6E11"/>
    <w:rsid w:val="002D0DA9"/>
    <w:rsid w:val="00316A30"/>
    <w:rsid w:val="00317255"/>
    <w:rsid w:val="003271DD"/>
    <w:rsid w:val="00327994"/>
    <w:rsid w:val="00344BFE"/>
    <w:rsid w:val="00356826"/>
    <w:rsid w:val="003814D0"/>
    <w:rsid w:val="003928C9"/>
    <w:rsid w:val="003B65DB"/>
    <w:rsid w:val="003B7B23"/>
    <w:rsid w:val="003D1F36"/>
    <w:rsid w:val="003F5719"/>
    <w:rsid w:val="00414756"/>
    <w:rsid w:val="00432081"/>
    <w:rsid w:val="004471A3"/>
    <w:rsid w:val="00484075"/>
    <w:rsid w:val="0049413B"/>
    <w:rsid w:val="004A2F72"/>
    <w:rsid w:val="004B5553"/>
    <w:rsid w:val="004C3200"/>
    <w:rsid w:val="004D0133"/>
    <w:rsid w:val="004D2620"/>
    <w:rsid w:val="004D6B6D"/>
    <w:rsid w:val="0052614E"/>
    <w:rsid w:val="0054224B"/>
    <w:rsid w:val="00544E2E"/>
    <w:rsid w:val="0055451E"/>
    <w:rsid w:val="0056114D"/>
    <w:rsid w:val="00564224"/>
    <w:rsid w:val="00592B26"/>
    <w:rsid w:val="005A12DD"/>
    <w:rsid w:val="005A4CA7"/>
    <w:rsid w:val="005C05B8"/>
    <w:rsid w:val="005D5A7C"/>
    <w:rsid w:val="005E24A5"/>
    <w:rsid w:val="005F61D0"/>
    <w:rsid w:val="0062154B"/>
    <w:rsid w:val="00635539"/>
    <w:rsid w:val="00647097"/>
    <w:rsid w:val="00662AAB"/>
    <w:rsid w:val="00665BF5"/>
    <w:rsid w:val="006719A2"/>
    <w:rsid w:val="00691431"/>
    <w:rsid w:val="0069222D"/>
    <w:rsid w:val="006B0F8B"/>
    <w:rsid w:val="006B102A"/>
    <w:rsid w:val="006B44DA"/>
    <w:rsid w:val="006B6A40"/>
    <w:rsid w:val="006C32F3"/>
    <w:rsid w:val="006C3FD8"/>
    <w:rsid w:val="006D0EAA"/>
    <w:rsid w:val="006D7B60"/>
    <w:rsid w:val="006F42AE"/>
    <w:rsid w:val="007101BD"/>
    <w:rsid w:val="007107F5"/>
    <w:rsid w:val="00711089"/>
    <w:rsid w:val="00721FCB"/>
    <w:rsid w:val="00723809"/>
    <w:rsid w:val="00723D5C"/>
    <w:rsid w:val="007305C3"/>
    <w:rsid w:val="00737736"/>
    <w:rsid w:val="00742BA9"/>
    <w:rsid w:val="00751EC6"/>
    <w:rsid w:val="007610A4"/>
    <w:rsid w:val="007724DD"/>
    <w:rsid w:val="00773016"/>
    <w:rsid w:val="007858EB"/>
    <w:rsid w:val="007D00FB"/>
    <w:rsid w:val="007E1976"/>
    <w:rsid w:val="007F4C75"/>
    <w:rsid w:val="00806E60"/>
    <w:rsid w:val="0081185B"/>
    <w:rsid w:val="008177E3"/>
    <w:rsid w:val="00821FC0"/>
    <w:rsid w:val="00824AA8"/>
    <w:rsid w:val="00845DF4"/>
    <w:rsid w:val="0085674A"/>
    <w:rsid w:val="0086293D"/>
    <w:rsid w:val="00862B15"/>
    <w:rsid w:val="008A0CDC"/>
    <w:rsid w:val="008E0A1B"/>
    <w:rsid w:val="008E3F3B"/>
    <w:rsid w:val="008E4E35"/>
    <w:rsid w:val="008E71AC"/>
    <w:rsid w:val="008F5B95"/>
    <w:rsid w:val="00906AD5"/>
    <w:rsid w:val="0091331D"/>
    <w:rsid w:val="00914741"/>
    <w:rsid w:val="00917464"/>
    <w:rsid w:val="009242A7"/>
    <w:rsid w:val="00930E81"/>
    <w:rsid w:val="00946B01"/>
    <w:rsid w:val="00963E5A"/>
    <w:rsid w:val="00966AF3"/>
    <w:rsid w:val="00975193"/>
    <w:rsid w:val="00983C3C"/>
    <w:rsid w:val="00984E6D"/>
    <w:rsid w:val="00985CA6"/>
    <w:rsid w:val="00994847"/>
    <w:rsid w:val="009A020E"/>
    <w:rsid w:val="009A1ACE"/>
    <w:rsid w:val="009A66FC"/>
    <w:rsid w:val="009C6984"/>
    <w:rsid w:val="00A01984"/>
    <w:rsid w:val="00A17999"/>
    <w:rsid w:val="00A24632"/>
    <w:rsid w:val="00A317BA"/>
    <w:rsid w:val="00A42D3F"/>
    <w:rsid w:val="00A55438"/>
    <w:rsid w:val="00A57EAF"/>
    <w:rsid w:val="00A634DB"/>
    <w:rsid w:val="00A679A3"/>
    <w:rsid w:val="00A75EA4"/>
    <w:rsid w:val="00A812F2"/>
    <w:rsid w:val="00A81B25"/>
    <w:rsid w:val="00A91C59"/>
    <w:rsid w:val="00A93730"/>
    <w:rsid w:val="00A9504D"/>
    <w:rsid w:val="00AA6CB9"/>
    <w:rsid w:val="00AC7D87"/>
    <w:rsid w:val="00AE010F"/>
    <w:rsid w:val="00AE31C6"/>
    <w:rsid w:val="00AE529E"/>
    <w:rsid w:val="00AF0D1B"/>
    <w:rsid w:val="00B16BA2"/>
    <w:rsid w:val="00B26996"/>
    <w:rsid w:val="00B30AF3"/>
    <w:rsid w:val="00B475AF"/>
    <w:rsid w:val="00B61653"/>
    <w:rsid w:val="00B747C2"/>
    <w:rsid w:val="00B951E7"/>
    <w:rsid w:val="00BA4647"/>
    <w:rsid w:val="00BC108A"/>
    <w:rsid w:val="00BD50C3"/>
    <w:rsid w:val="00BE3CF6"/>
    <w:rsid w:val="00BF7FCF"/>
    <w:rsid w:val="00C05E27"/>
    <w:rsid w:val="00C2520E"/>
    <w:rsid w:val="00C26A17"/>
    <w:rsid w:val="00C33B6B"/>
    <w:rsid w:val="00C40372"/>
    <w:rsid w:val="00C518FF"/>
    <w:rsid w:val="00C53249"/>
    <w:rsid w:val="00C556BB"/>
    <w:rsid w:val="00C5752A"/>
    <w:rsid w:val="00C66EE4"/>
    <w:rsid w:val="00C94AE2"/>
    <w:rsid w:val="00CB03F2"/>
    <w:rsid w:val="00CC0537"/>
    <w:rsid w:val="00CC23D8"/>
    <w:rsid w:val="00CE13B7"/>
    <w:rsid w:val="00CF1764"/>
    <w:rsid w:val="00D30FB6"/>
    <w:rsid w:val="00D37EE5"/>
    <w:rsid w:val="00D53DCB"/>
    <w:rsid w:val="00D66068"/>
    <w:rsid w:val="00D87BCF"/>
    <w:rsid w:val="00DA4157"/>
    <w:rsid w:val="00DA7ED1"/>
    <w:rsid w:val="00DB48BF"/>
    <w:rsid w:val="00DB75E2"/>
    <w:rsid w:val="00DE2936"/>
    <w:rsid w:val="00DE5C7E"/>
    <w:rsid w:val="00DF5DDD"/>
    <w:rsid w:val="00E227E0"/>
    <w:rsid w:val="00E33974"/>
    <w:rsid w:val="00E47085"/>
    <w:rsid w:val="00E614E9"/>
    <w:rsid w:val="00E77362"/>
    <w:rsid w:val="00E9555E"/>
    <w:rsid w:val="00EA3F9B"/>
    <w:rsid w:val="00EC52E2"/>
    <w:rsid w:val="00ED237C"/>
    <w:rsid w:val="00EE6C2A"/>
    <w:rsid w:val="00F02F0E"/>
    <w:rsid w:val="00F03C84"/>
    <w:rsid w:val="00F1190E"/>
    <w:rsid w:val="00F12522"/>
    <w:rsid w:val="00F22BFC"/>
    <w:rsid w:val="00F37EAE"/>
    <w:rsid w:val="00F5439C"/>
    <w:rsid w:val="00F7401C"/>
    <w:rsid w:val="00F767B7"/>
    <w:rsid w:val="00F95385"/>
    <w:rsid w:val="00FA0F57"/>
    <w:rsid w:val="00FB1051"/>
    <w:rsid w:val="00FC2C2E"/>
    <w:rsid w:val="00FD3F2D"/>
    <w:rsid w:val="00FE4D9F"/>
    <w:rsid w:val="00FE4E9C"/>
    <w:rsid w:val="00FE5F6E"/>
    <w:rsid w:val="00FE6328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61</cp:revision>
  <cp:lastPrinted>2016-08-03T07:59:00Z</cp:lastPrinted>
  <dcterms:created xsi:type="dcterms:W3CDTF">2017-07-27T13:40:00Z</dcterms:created>
  <dcterms:modified xsi:type="dcterms:W3CDTF">2017-09-26T13:22:00Z</dcterms:modified>
</cp:coreProperties>
</file>